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jc w:val="right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Warszawa,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13 czerwca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 20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76" w:lineRule="auto"/>
        <w:jc w:val="left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276" w:lineRule="auto"/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Firma Rockwell Automation została uznana za wizjonera w branży</w:t>
      </w:r>
    </w:p>
    <w:p w:rsidR="00000000" w:rsidDel="00000000" w:rsidP="00000000" w:rsidRDefault="00000000" w:rsidRPr="00000000" w14:paraId="00000005">
      <w:pPr>
        <w:spacing w:after="240" w:before="240" w:line="276" w:lineRule="auto"/>
        <w:jc w:val="center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Szeroka oferta firmy Rockwell przyspiesza transformację systemów produkcyjnych u rosnącej liczby klientów na całym świecie</w:t>
      </w:r>
    </w:p>
    <w:p w:rsidR="00000000" w:rsidDel="00000000" w:rsidP="00000000" w:rsidRDefault="00000000" w:rsidRPr="00000000" w14:paraId="00000006">
      <w:pPr>
        <w:spacing w:after="240" w:before="240" w:line="276" w:lineRule="auto"/>
        <w:jc w:val="center"/>
        <w:rPr>
          <w:rFonts w:ascii="Century Gothic" w:cs="Century Gothic" w:eastAsia="Century Gothic" w:hAnsi="Century Gothic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276" w:lineRule="auto"/>
        <w:ind w:left="0" w:firstLine="0"/>
        <w:jc w:val="both"/>
        <w:rPr>
          <w:rFonts w:ascii="Century Gothic" w:cs="Century Gothic" w:eastAsia="Century Gothic" w:hAnsi="Century Gothic"/>
          <w:sz w:val="20"/>
          <w:szCs w:val="20"/>
        </w:rPr>
      </w:pPr>
      <w:hyperlink r:id="rId7">
        <w:r w:rsidDel="00000000" w:rsidR="00000000" w:rsidRPr="00000000">
          <w:rPr>
            <w:rFonts w:ascii="Century Gothic" w:cs="Century Gothic" w:eastAsia="Century Gothic" w:hAnsi="Century Gothic"/>
            <w:b w:val="1"/>
            <w:sz w:val="20"/>
            <w:szCs w:val="20"/>
            <w:rtl w:val="0"/>
          </w:rPr>
          <w:t xml:space="preserve">Rockwell Automation</w:t>
        </w:r>
      </w:hyperlink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, największa na świecie firma specjalizująca się w automatyzacji przemysłu i transformacji cyfrowej w badaniu Gartner Magic Quadrant dotyczącym systemów realizacji produkcji (MES) otrzymała tytuł Wizjonera za system FactoryTalk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®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Production Centre, z kolei przejęta przez nią </w:t>
      </w:r>
      <w:hyperlink r:id="rId8">
        <w:r w:rsidDel="00000000" w:rsidR="00000000" w:rsidRPr="00000000">
          <w:rPr>
            <w:rFonts w:ascii="Century Gothic" w:cs="Century Gothic" w:eastAsia="Century Gothic" w:hAnsi="Century Gothic"/>
            <w:b w:val="1"/>
            <w:sz w:val="20"/>
            <w:szCs w:val="20"/>
            <w:rtl w:val="0"/>
          </w:rPr>
          <w:t xml:space="preserve">Plex Systems</w:t>
        </w:r>
      </w:hyperlink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tytuł Lidera za platformę Smart Manufacturing Platform.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276" w:lineRule="auto"/>
        <w:ind w:left="0" w:firstLine="0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Wyróżnienie przez Gartner Magic Quadrant 2022 świadczy o szybko rosnącym zasięgu rynkowym i uznaniu branży dla całej oferty systemów realizacji produkcji firmy. Klienci firmy Rockwell mogą teraz korzystać z rozwijającej się perspektywy, obejmującej szeroki zakres branż.</w:t>
      </w:r>
    </w:p>
    <w:p w:rsidR="00000000" w:rsidDel="00000000" w:rsidP="00000000" w:rsidRDefault="00000000" w:rsidRPr="00000000" w14:paraId="00000009">
      <w:pPr>
        <w:spacing w:after="240" w:before="240" w:line="276" w:lineRule="auto"/>
        <w:ind w:left="0" w:firstLine="0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rtl w:val="0"/>
        </w:rPr>
        <w:t xml:space="preserve">„Cieszymy się z wyróżnienia naszej oferty systemów realizacji produkcji w Gartner Magic Quadrant 2022”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– powiedział Brian Shepherd, wiceprezes Rockwell Automation ds. oprogramowania i sterowania, który zauważył, że interpretacja funkcjonalności tych systemów przez firmę Gartner wykracza poza tradycyjną definicję, obejmując wszystkie funkcje na poziomie przedsiębiorstwa, związane z operacjami biznesowymi, systemami inżynieryjnymi i automatyzacją fabryki.</w:t>
      </w:r>
    </w:p>
    <w:p w:rsidR="00000000" w:rsidDel="00000000" w:rsidP="00000000" w:rsidRDefault="00000000" w:rsidRPr="00000000" w14:paraId="0000000A">
      <w:pPr>
        <w:spacing w:after="240" w:before="240" w:line="276" w:lineRule="auto"/>
        <w:ind w:left="0" w:firstLine="0"/>
        <w:jc w:val="both"/>
        <w:rPr>
          <w:rFonts w:ascii="Century Gothic" w:cs="Century Gothic" w:eastAsia="Century Gothic" w:hAnsi="Century Gothic"/>
          <w:i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rtl w:val="0"/>
        </w:rPr>
        <w:t xml:space="preserve">„Jesteśmy dumni, że Rockwell FactoryTalk otrzymało tytuł Wizjonera za przełomowe rozwiązanie w zakresie orkiestracji funkcji systemu realizacji produkcji”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– dodał Shepherd.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rtl w:val="0"/>
        </w:rPr>
        <w:t xml:space="preserve">„Uważamy, że uznanie firmy Plex za Lidera pokazuje również wpływ i wartość, jaką Smart Manufacturing Platform zapewnia klientom. Naszym zdaniem docenienie kompleksowej oferty firmy Rockwell przez Gartner jeszcze bardziej podkreśla synergię między tymi ofertami”.</w:t>
      </w:r>
    </w:p>
    <w:p w:rsidR="00000000" w:rsidDel="00000000" w:rsidP="00000000" w:rsidRDefault="00000000" w:rsidRPr="00000000" w14:paraId="0000000B">
      <w:pPr>
        <w:spacing w:after="240" w:before="240" w:line="276" w:lineRule="auto"/>
        <w:ind w:left="0" w:firstLine="0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="276" w:lineRule="auto"/>
        <w:ind w:left="0" w:firstLine="0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Pełna oferta firmy Rockwell w zakresie zarządzania działalnością operacyjną obejmuje rozwiązania Plex Systems i FactoryTalk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ProductionCentre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z funkcjami takimi jak: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240" w:line="276" w:lineRule="auto"/>
        <w:ind w:left="720" w:hanging="360"/>
        <w:jc w:val="both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systemy realizacji produkcji,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QMS,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planowanie łańcucha dostaw,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monitorowanie produkcji oraz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40" w:before="0" w:beforeAutospacing="0" w:line="276" w:lineRule="auto"/>
        <w:ind w:left="720" w:hanging="360"/>
        <w:jc w:val="both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zarządzanie wydajnością aktywów. </w:t>
      </w:r>
    </w:p>
    <w:p w:rsidR="00000000" w:rsidDel="00000000" w:rsidP="00000000" w:rsidRDefault="00000000" w:rsidRPr="00000000" w14:paraId="00000012">
      <w:pPr>
        <w:spacing w:after="240" w:before="240" w:line="276" w:lineRule="auto"/>
        <w:ind w:left="0" w:firstLine="0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FactoryTalk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ProductionCentre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oferuje szeroki zakres funkcji i możliwości wymaganych w branżach podlegających ścisłym regulacjom prawnym. Firma Plex oferuje jedyną jednoinstancyjną platformę produkcyjną SaaS (oprogramowanie jako usługa) dla wielu dzierżawców, która działa na dużą skalę, obsługuje ponad 700 klientów i zarządza ponad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ośmioma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miliardami transakcji dziennie. Łącznie oferta firmy Rockwell w zakresie zarządzania działalnością operacyjną zapewnia najlepsze rozwiązania dla najszerszego grona klientów, umożliwiając dokonanie cyfrowej transformacji prowadzonej działalności operacyjnej.</w:t>
      </w:r>
    </w:p>
    <w:p w:rsidR="00000000" w:rsidDel="00000000" w:rsidP="00000000" w:rsidRDefault="00000000" w:rsidRPr="00000000" w14:paraId="00000013">
      <w:pPr>
        <w:spacing w:after="240" w:before="240" w:line="276" w:lineRule="auto"/>
        <w:ind w:left="0" w:firstLine="0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Dowiedz się więcej o pozycji firmy Rockwell jako Wizjonera</w:t>
      </w:r>
      <w:hyperlink r:id="rId9">
        <w:r w:rsidDel="00000000" w:rsidR="00000000" w:rsidRPr="00000000">
          <w:rPr>
            <w:rFonts w:ascii="Century Gothic" w:cs="Century Gothic" w:eastAsia="Century Gothic" w:hAnsi="Century Gothic"/>
            <w:sz w:val="20"/>
            <w:szCs w:val="20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Century Gothic" w:cs="Century Gothic" w:eastAsia="Century Gothic" w:hAnsi="Century Gothic"/>
            <w:color w:val="0000ff"/>
            <w:sz w:val="20"/>
            <w:szCs w:val="20"/>
            <w:u w:val="single"/>
            <w:rtl w:val="0"/>
          </w:rPr>
          <w:t xml:space="preserve">tutaj</w:t>
        </w:r>
      </w:hyperlink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i firmy Plex jako Lidera</w:t>
      </w:r>
      <w:hyperlink r:id="rId11">
        <w:r w:rsidDel="00000000" w:rsidR="00000000" w:rsidRPr="00000000">
          <w:rPr>
            <w:rFonts w:ascii="Century Gothic" w:cs="Century Gothic" w:eastAsia="Century Gothic" w:hAnsi="Century Gothic"/>
            <w:sz w:val="20"/>
            <w:szCs w:val="20"/>
            <w:rtl w:val="0"/>
          </w:rPr>
          <w:t xml:space="preserve"> </w:t>
        </w:r>
      </w:hyperlink>
      <w:hyperlink r:id="rId12">
        <w:r w:rsidDel="00000000" w:rsidR="00000000" w:rsidRPr="00000000">
          <w:rPr>
            <w:rFonts w:ascii="Century Gothic" w:cs="Century Gothic" w:eastAsia="Century Gothic" w:hAnsi="Century Gothic"/>
            <w:color w:val="0000ff"/>
            <w:sz w:val="20"/>
            <w:szCs w:val="20"/>
            <w:u w:val="single"/>
            <w:rtl w:val="0"/>
          </w:rPr>
          <w:t xml:space="preserve">tutaj</w:t>
        </w:r>
      </w:hyperlink>
      <w:r w:rsidDel="00000000" w:rsidR="00000000" w:rsidRPr="00000000">
        <w:rPr>
          <w:rFonts w:ascii="Century Gothic" w:cs="Century Gothic" w:eastAsia="Century Gothic" w:hAnsi="Century Gothic"/>
          <w:color w:val="0000ff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w badaniu Magic Quadrant 2022 dotyczącym systemów realizacji produkcji. </w:t>
      </w:r>
    </w:p>
    <w:p w:rsidR="00000000" w:rsidDel="00000000" w:rsidP="00000000" w:rsidRDefault="00000000" w:rsidRPr="00000000" w14:paraId="00000014">
      <w:pPr>
        <w:spacing w:after="240" w:before="0" w:line="276" w:lineRule="auto"/>
        <w:ind w:left="720" w:firstLine="0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="276" w:lineRule="auto"/>
        <w:ind w:left="720" w:firstLine="0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O firmie Rockwell Automation</w:t>
      </w:r>
    </w:p>
    <w:p w:rsidR="00000000" w:rsidDel="00000000" w:rsidP="00000000" w:rsidRDefault="00000000" w:rsidRPr="00000000" w14:paraId="00000017">
      <w:pPr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Rockwell Automation, Inc. (NYSE: ROK), jest światowym liderem w automatyce przemysłowej i transformacji cyfrowej. Łączymy wyobraźnię ludzi z potencjałem technologii, aby rozwijać to, co jest po ludzku możliwe, czyniąc świat bardziej produktywnym i zrównoważonym. Rockwell Automation, z siedzibą w Milwaukee, Wisconsin, zatrudnia około 23 500 osób w ponad 100 krajach. Aby dowiedzieć się więcej o tym, jak wdrażamy koncepcję The Connected Enterprise w różnych przedsiębiorstwach przemysłowych, odwiedź www.rockwellautomation.com.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entury Gothic" w:cs="Century Gothic" w:eastAsia="Century Gothic" w:hAnsi="Century Gothic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entury Gothic" w:cs="Century Gothic" w:eastAsia="Century Gothic" w:hAnsi="Century Gothic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rtl w:val="0"/>
        </w:rPr>
        <w:t xml:space="preserve">Kontakt dla mediów: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jc w:val="both"/>
        <w:rPr>
          <w:rFonts w:ascii="Century Gothic" w:cs="Century Gothic" w:eastAsia="Century Gothic" w:hAnsi="Century Gothic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Kinga Jabłonowska – Hieronimczuk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jc w:val="both"/>
        <w:rPr>
          <w:rFonts w:ascii="Century Gothic" w:cs="Century Gothic" w:eastAsia="Century Gothic" w:hAnsi="Century Gothic"/>
          <w:color w:val="000000"/>
          <w:sz w:val="18"/>
          <w:szCs w:val="18"/>
        </w:rPr>
      </w:pPr>
      <w:hyperlink r:id="rId13">
        <w:r w:rsidDel="00000000" w:rsidR="00000000" w:rsidRPr="00000000">
          <w:rPr>
            <w:rFonts w:ascii="Century Gothic" w:cs="Century Gothic" w:eastAsia="Century Gothic" w:hAnsi="Century Gothic"/>
            <w:color w:val="000000"/>
            <w:sz w:val="18"/>
            <w:szCs w:val="18"/>
            <w:u w:val="single"/>
            <w:rtl w:val="0"/>
          </w:rPr>
          <w:t xml:space="preserve">kjablonowska@ra.rockwell.com</w:t>
        </w:r>
      </w:hyperlink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6840" w:w="11900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rFonts w:ascii="Century Gothic" w:cs="Century Gothic" w:eastAsia="Century Gothic" w:hAnsi="Century Gothic"/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rFonts w:ascii="Century Gothic" w:cs="Century Gothic" w:eastAsia="Century Gothic" w:hAnsi="Century Gothic"/>
        <w:color w:val="000000"/>
        <w:sz w:val="18"/>
        <w:szCs w:val="18"/>
      </w:rPr>
    </w:pPr>
    <w:r w:rsidDel="00000000" w:rsidR="00000000" w:rsidRPr="00000000">
      <w:rPr>
        <w:rFonts w:ascii="Century Gothic" w:cs="Century Gothic" w:eastAsia="Century Gothic" w:hAnsi="Century Gothic"/>
        <w:color w:val="000000"/>
        <w:sz w:val="18"/>
        <w:szCs w:val="18"/>
        <w:rtl w:val="0"/>
      </w:rPr>
      <w:t xml:space="preserve">Rockwell Automation Sp. z o.o., ul. Powązkowska 44c, 01-797 Warszawa</w:t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rFonts w:ascii="Century Gothic" w:cs="Century Gothic" w:eastAsia="Century Gothic" w:hAnsi="Century Gothic"/>
        <w:color w:val="000000"/>
        <w:sz w:val="18"/>
        <w:szCs w:val="18"/>
      </w:rPr>
    </w:pPr>
    <w:r w:rsidDel="00000000" w:rsidR="00000000" w:rsidRPr="00000000">
      <w:rPr>
        <w:rFonts w:ascii="Century Gothic" w:cs="Century Gothic" w:eastAsia="Century Gothic" w:hAnsi="Century Gothic"/>
        <w:color w:val="000000"/>
        <w:sz w:val="18"/>
        <w:szCs w:val="18"/>
        <w:rtl w:val="0"/>
      </w:rPr>
      <w:t xml:space="preserve">www.rockwellautomation.com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jc w:val="right"/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Fonts w:ascii="Helvetica Neue" w:cs="Helvetica Neue" w:eastAsia="Helvetica Neue" w:hAnsi="Helvetica Neue"/>
        <w:color w:val="000000"/>
      </w:rPr>
      <w:drawing>
        <wp:inline distB="0" distT="0" distL="0" distR="0">
          <wp:extent cx="1619250" cy="762000"/>
          <wp:effectExtent b="0" l="0" r="0" t="0"/>
          <wp:docPr id="2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9250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Helvetica Neue" w:cs="Helvetica Neue" w:eastAsia="Helvetica Neue" w:hAnsi="Helvetica Neue"/>
        <w:color w:val="000000"/>
        <w:rtl w:val="0"/>
      </w:rPr>
      <w:t xml:space="preserve">      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Pr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cze">
    <w:name w:val="Hyperlink"/>
    <w:rPr>
      <w:u w:val="single"/>
    </w:rPr>
  </w:style>
  <w:style w:type="table" w:styleId="TableNormal1" w:customStyle="1">
    <w:name w:val="Table Normal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Zhlavazpat" w:customStyle="1">
    <w:name w:val="Záhlaví a zápatí"/>
    <w:pPr>
      <w:tabs>
        <w:tab w:val="right" w:pos="9020"/>
      </w:tabs>
    </w:pPr>
    <w:rPr>
      <w:rFonts w:ascii="Helvetica Neue" w:cs="Arial Unicode MS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Text" w:customStyle="1">
    <w:name w:val="Text"/>
    <w:pPr>
      <w:spacing w:line="259" w:lineRule="auto"/>
    </w:pPr>
    <w:rPr>
      <w:rFonts w:ascii="Calibri" w:cs="Arial Unicode MS" w:hAnsi="Calibri"/>
      <w:color w:val="000000"/>
      <w:u w:color="000000"/>
      <w14:textOutline w14:cap="flat" w14:cmpd="sng" w14:algn="ctr">
        <w14:noFill/>
        <w14:prstDash w14:val="solid"/>
        <w14:bevel/>
      </w14:textOutline>
    </w:rPr>
  </w:style>
  <w:style w:type="character" w:styleId="Odkaz" w:customStyle="1">
    <w:name w:val="Odkaz"/>
    <w:rPr>
      <w:outline w:val="0"/>
      <w:color w:val="0563c1"/>
      <w:u w:color="0563c1" w:val="single"/>
    </w:rPr>
  </w:style>
  <w:style w:type="character" w:styleId="Hyperlink0" w:customStyle="1">
    <w:name w:val="Hyperlink.0"/>
    <w:basedOn w:val="Odkaz"/>
    <w:rPr>
      <w:outline w:val="0"/>
      <w:color w:val="0563c1"/>
      <w:sz w:val="16"/>
      <w:szCs w:val="16"/>
      <w:u w:color="0563c1" w:val="single"/>
    </w:rPr>
  </w:style>
  <w:style w:type="paragraph" w:styleId="Akapitzlist">
    <w:name w:val="List Paragraph"/>
    <w:qFormat w:val="1"/>
    <w:pPr>
      <w:spacing w:line="259" w:lineRule="auto"/>
      <w:ind w:left="720"/>
    </w:pPr>
    <w:rPr>
      <w:rFonts w:ascii="Calibri" w:cs="Arial Unicode MS" w:hAnsi="Calibri"/>
      <w:color w:val="000000"/>
      <w:u w:color="000000"/>
    </w:rPr>
  </w:style>
  <w:style w:type="numbering" w:styleId="Importovanstyl1" w:customStyle="1">
    <w:name w:val="Importovaný styl 1"/>
  </w:style>
  <w:style w:type="numbering" w:styleId="Odrky" w:customStyle="1">
    <w:name w:val="Odrážky"/>
  </w:style>
  <w:style w:type="character" w:styleId="Hyperlink1" w:customStyle="1">
    <w:name w:val="Hyperlink.1"/>
    <w:basedOn w:val="Odkaz"/>
    <w:rPr>
      <w:outline w:val="0"/>
      <w:color w:val="000000"/>
      <w:u w:color="0563c1" w:val="single"/>
    </w:rPr>
  </w:style>
  <w:style w:type="paragraph" w:styleId="Nagwek">
    <w:name w:val="header"/>
    <w:basedOn w:val="Normalny"/>
    <w:link w:val="NagwekZnak"/>
    <w:uiPriority w:val="99"/>
    <w:unhideWhenUsed w:val="1"/>
    <w:rsid w:val="002E160B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2E160B"/>
    <w:rPr>
      <w:sz w:val="24"/>
      <w:szCs w:val="24"/>
      <w:lang w:eastAsia="en-US" w:val="en-US"/>
    </w:rPr>
  </w:style>
  <w:style w:type="paragraph" w:styleId="Stopka">
    <w:name w:val="footer"/>
    <w:basedOn w:val="Normalny"/>
    <w:link w:val="StopkaZnak"/>
    <w:uiPriority w:val="99"/>
    <w:unhideWhenUsed w:val="1"/>
    <w:rsid w:val="002E160B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2E160B"/>
    <w:rPr>
      <w:sz w:val="24"/>
      <w:szCs w:val="24"/>
      <w:lang w:eastAsia="en-US" w:val="en-US"/>
    </w:rPr>
  </w:style>
  <w:style w:type="paragraph" w:styleId="BodyA" w:customStyle="1">
    <w:name w:val="Body A"/>
    <w:rsid w:val="00DF523D"/>
    <w:rPr>
      <w:rFonts w:cs="Arial Unicode MS"/>
      <w:color w:val="000000"/>
      <w:u w:color="000000"/>
      <w:lang w:eastAsia="en-US"/>
    </w:rPr>
  </w:style>
  <w:style w:type="character" w:styleId="None" w:customStyle="1">
    <w:name w:val="None"/>
    <w:rsid w:val="00DF523D"/>
  </w:style>
  <w:style w:type="paragraph" w:styleId="NormalnyWeb">
    <w:name w:val="Normal (Web)"/>
    <w:uiPriority w:val="99"/>
    <w:rsid w:val="00DF523D"/>
    <w:pPr>
      <w:spacing w:after="100" w:before="100"/>
    </w:pPr>
    <w:rPr>
      <w:color w:val="000000"/>
      <w:u w:color="000000"/>
      <w:lang w:eastAsia="en-US"/>
    </w:rPr>
  </w:style>
  <w:style w:type="paragraph" w:styleId="TextA" w:customStyle="1">
    <w:name w:val="Text A"/>
    <w:rsid w:val="00F92479"/>
    <w:rPr>
      <w:rFonts w:cs="Arial Unicode MS"/>
      <w:color w:val="000000"/>
      <w:u w:color="000000"/>
      <w14:textOutline w14:cap="flat" w14:cmpd="sng" w14:w="12700" w14:algn="ctr">
        <w14:noFill/>
        <w14:prstDash w14:val="solid"/>
        <w14:miter w14:lim="400000"/>
      </w14:textOutline>
    </w:rPr>
  </w:style>
  <w:style w:type="character" w:styleId="dn" w:customStyle="1">
    <w:name w:val="Žádný"/>
    <w:rsid w:val="00F92479"/>
  </w:style>
  <w:style w:type="numbering" w:styleId="Importovanstyl2" w:customStyle="1">
    <w:name w:val="Importovaný styl 2"/>
    <w:rsid w:val="00A10B47"/>
  </w:style>
  <w:style w:type="paragraph" w:styleId="Vchoz" w:customStyle="1">
    <w:name w:val="Výchozí"/>
    <w:rsid w:val="00036C82"/>
    <w:pPr>
      <w:spacing w:before="160"/>
    </w:pPr>
    <w:rPr>
      <w:rFonts w:ascii="Helvetica Neue" w:cs="Helvetica Neue" w:eastAsia="Helvetica Neue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Bezodstpw">
    <w:name w:val="No Spacing"/>
    <w:uiPriority w:val="1"/>
    <w:qFormat w:val="1"/>
    <w:rsid w:val="00036C82"/>
    <w:rPr>
      <w:rFonts w:ascii="Arial" w:cs="Arial" w:eastAsia="Arial" w:hAnsi="Arial"/>
      <w:color w:val="000000"/>
      <w:u w:color="000000"/>
    </w:rPr>
  </w:style>
  <w:style w:type="character" w:styleId="Numerstrony">
    <w:name w:val="page number"/>
    <w:rsid w:val="00036C82"/>
  </w:style>
  <w:style w:type="character" w:styleId="dnA" w:customStyle="1">
    <w:name w:val="Žádný A"/>
    <w:rsid w:val="001D37E6"/>
    <w:rPr>
      <w:lang w:val="en-US"/>
    </w:rPr>
  </w:style>
  <w:style w:type="paragraph" w:styleId="Poprawka">
    <w:name w:val="Revision"/>
    <w:hidden w:val="1"/>
    <w:uiPriority w:val="99"/>
    <w:semiHidden w:val="1"/>
    <w:rsid w:val="002E52F4"/>
    <w:rPr>
      <w:lang w:eastAsia="en-US"/>
    </w:rPr>
  </w:style>
  <w:style w:type="numbering" w:styleId="sla" w:customStyle="1">
    <w:name w:val="Čísla"/>
    <w:rsid w:val="00534C23"/>
  </w:style>
  <w:style w:type="numbering" w:styleId="Odrka" w:customStyle="1">
    <w:name w:val="Odrážka"/>
    <w:rsid w:val="00916DEA"/>
  </w:style>
  <w:style w:type="character" w:styleId="publication" w:customStyle="1">
    <w:name w:val="publication"/>
    <w:basedOn w:val="Domylnaczcionkaakapitu"/>
    <w:rsid w:val="000B6E33"/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plex.com/resources/analyst-research/gartner-mes-software-vendor-report?top-slide=1" TargetMode="External"/><Relationship Id="rId10" Type="http://schemas.openxmlformats.org/officeDocument/2006/relationships/hyperlink" Target="https://www.rockwellautomation.com/en-us/capabilities/mes/gartner-mes-magic-quadrant.html" TargetMode="External"/><Relationship Id="rId13" Type="http://schemas.openxmlformats.org/officeDocument/2006/relationships/hyperlink" Target="mailto:kjablonowska@ra.rockwell.com" TargetMode="External"/><Relationship Id="rId12" Type="http://schemas.openxmlformats.org/officeDocument/2006/relationships/hyperlink" Target="https://www.plex.com/resources/analyst-research/gartner-mes-software-vendor-report?top-slide=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ockwellautomation.com/en-us/capabilities/mes/gartner-mes-magic-quadrant.html" TargetMode="Externa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rockwellautomation.com/" TargetMode="External"/><Relationship Id="rId8" Type="http://schemas.openxmlformats.org/officeDocument/2006/relationships/hyperlink" Target="https://www.plex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SNJGQVIxqN1gehe6908TKYehTw==">AMUW2mVMADD9q2Den/O1o139PNrKiSJNuDlXApqfbYGr/D0sq0QmECMzTt9H02tr8PTM/jykubpaZwKiHUR1HPeZ6t0VC8Po235NrZqgLiusdmWpME9dVGA=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2021-07-12T11:50:00Z</dcterms:created>
  <dc:creator>Magda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0x01010074260948434B4344A6387C3BD67D0C3A</vt:lpwstr>
  </property>
</Properties>
</file>